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E176" w14:textId="77777777" w:rsidR="000378F3" w:rsidRDefault="000378F3" w:rsidP="00D31A25">
      <w:pPr>
        <w:pStyle w:val="Overskrift2"/>
      </w:pPr>
    </w:p>
    <w:p w14:paraId="1EDD232E" w14:textId="054F04E1" w:rsidR="00D31A25" w:rsidRDefault="00D31A25" w:rsidP="00D31A25">
      <w:pPr>
        <w:pStyle w:val="Overskrift2"/>
      </w:pPr>
      <w:r>
        <w:t>PACBI: Hvorfor boikotte?</w:t>
      </w:r>
      <w:r>
        <w:tab/>
      </w:r>
      <w:r>
        <w:tab/>
      </w:r>
      <w:r>
        <w:tab/>
      </w:r>
    </w:p>
    <w:p w14:paraId="249B4B84" w14:textId="77777777" w:rsidR="00D31A25" w:rsidRDefault="00D31A25" w:rsidP="00D31A25">
      <w:pPr>
        <w:rPr>
          <w:lang w:val="nb-NO"/>
        </w:rPr>
      </w:pPr>
      <w:r>
        <w:rPr>
          <w:lang w:val="nb-NO"/>
        </w:rPr>
        <w:t xml:space="preserve">Tekst på engelsk: </w:t>
      </w:r>
      <w:hyperlink r:id="rId5" w:history="1">
        <w:r w:rsidRPr="008764ED">
          <w:rPr>
            <w:rStyle w:val="Hyperkobling"/>
            <w:lang w:val="nb-NO"/>
          </w:rPr>
          <w:t xml:space="preserve">Cultural Boycott | BDS </w:t>
        </w:r>
        <w:proofErr w:type="spellStart"/>
        <w:r w:rsidRPr="008764ED">
          <w:rPr>
            <w:rStyle w:val="Hyperkobling"/>
            <w:lang w:val="nb-NO"/>
          </w:rPr>
          <w:t>Movement</w:t>
        </w:r>
        <w:proofErr w:type="spellEnd"/>
      </w:hyperlink>
    </w:p>
    <w:p w14:paraId="60D61557" w14:textId="77777777" w:rsidR="000378F3" w:rsidRDefault="00D31A25" w:rsidP="00D31A25">
      <w:pPr>
        <w:rPr>
          <w:lang w:val="nb-NO"/>
        </w:rPr>
      </w:pPr>
      <w:r>
        <w:rPr>
          <w:lang w:val="nb-NO"/>
        </w:rPr>
        <w:t xml:space="preserve">Israels regjering har oppsummert hvordan Israel bruker kultur til å dekke over sine grove brudd på internasjonal lov: </w:t>
      </w:r>
      <w:r w:rsidR="000378F3">
        <w:rPr>
          <w:lang w:val="nb-NO"/>
        </w:rPr>
        <w:t>«</w:t>
      </w:r>
      <w:r>
        <w:rPr>
          <w:lang w:val="nb-NO"/>
        </w:rPr>
        <w:t>Vi ser kultur som et førsteklasses propagandaverktøy (</w:t>
      </w:r>
      <w:proofErr w:type="spellStart"/>
      <w:r>
        <w:rPr>
          <w:lang w:val="nb-NO"/>
        </w:rPr>
        <w:t>hasbara</w:t>
      </w:r>
      <w:proofErr w:type="spellEnd"/>
      <w:r>
        <w:rPr>
          <w:lang w:val="nb-NO"/>
        </w:rPr>
        <w:t xml:space="preserve">) og skiller ikke mellom </w:t>
      </w:r>
      <w:proofErr w:type="spellStart"/>
      <w:r>
        <w:rPr>
          <w:lang w:val="nb-NO"/>
        </w:rPr>
        <w:t>hasbara</w:t>
      </w:r>
      <w:proofErr w:type="spellEnd"/>
      <w:r>
        <w:rPr>
          <w:lang w:val="nb-NO"/>
        </w:rPr>
        <w:t xml:space="preserve"> og kultur</w:t>
      </w:r>
      <w:r w:rsidR="000378F3">
        <w:rPr>
          <w:lang w:val="nb-NO"/>
        </w:rPr>
        <w:t xml:space="preserve">». </w:t>
      </w:r>
    </w:p>
    <w:p w14:paraId="3FEDF8EE" w14:textId="1BA96C0A" w:rsidR="000378F3" w:rsidRDefault="000378F3" w:rsidP="00D31A25">
      <w:pPr>
        <w:rPr>
          <w:lang w:val="nb-NO"/>
        </w:rPr>
      </w:pPr>
      <w:r>
        <w:rPr>
          <w:lang w:val="nb-NO"/>
        </w:rPr>
        <w:t xml:space="preserve">Dette uttalte </w:t>
      </w:r>
      <w:r w:rsidR="00D31A25">
        <w:rPr>
          <w:lang w:val="nb-NO"/>
        </w:rPr>
        <w:t xml:space="preserve"> </w:t>
      </w:r>
      <w:r w:rsidRPr="000378F3">
        <w:rPr>
          <w:lang w:val="nb-NO"/>
        </w:rPr>
        <w:t xml:space="preserve"> generalsekretær for Israels utenriksdepartement, </w:t>
      </w:r>
      <w:proofErr w:type="spellStart"/>
      <w:r w:rsidRPr="000378F3">
        <w:rPr>
          <w:lang w:val="nb-NO"/>
        </w:rPr>
        <w:t>Nissim</w:t>
      </w:r>
      <w:proofErr w:type="spellEnd"/>
      <w:r w:rsidRPr="000378F3">
        <w:rPr>
          <w:lang w:val="nb-NO"/>
        </w:rPr>
        <w:t xml:space="preserve"> Ben-</w:t>
      </w:r>
      <w:proofErr w:type="spellStart"/>
      <w:r w:rsidRPr="000378F3">
        <w:rPr>
          <w:lang w:val="nb-NO"/>
        </w:rPr>
        <w:t>Sheetrit</w:t>
      </w:r>
      <w:proofErr w:type="spellEnd"/>
      <w:r>
        <w:rPr>
          <w:lang w:val="nb-NO"/>
        </w:rPr>
        <w:t>,</w:t>
      </w:r>
      <w:r w:rsidRPr="000378F3">
        <w:rPr>
          <w:lang w:val="nb-NO"/>
        </w:rPr>
        <w:t xml:space="preserve"> i 2005 (</w:t>
      </w:r>
      <w:proofErr w:type="spellStart"/>
      <w:r>
        <w:rPr>
          <w:lang w:val="nb-NO"/>
        </w:rPr>
        <w:fldChar w:fldCharType="begin"/>
      </w:r>
      <w:r>
        <w:rPr>
          <w:lang w:val="nb-NO"/>
        </w:rPr>
        <w:instrText xml:space="preserve"> HYPERLINK "https://www.haaretz.com/2005-09-20/ty-article/about-face/0000017f-f7e7-d318-afff-f7e786c70000" </w:instrText>
      </w:r>
      <w:r>
        <w:rPr>
          <w:lang w:val="nb-NO"/>
        </w:rPr>
      </w:r>
      <w:r>
        <w:rPr>
          <w:lang w:val="nb-NO"/>
        </w:rPr>
        <w:fldChar w:fldCharType="separate"/>
      </w:r>
      <w:r w:rsidRPr="000378F3">
        <w:rPr>
          <w:rStyle w:val="Hyperkobling"/>
          <w:lang w:val="nb-NO"/>
        </w:rPr>
        <w:t>Haaretz</w:t>
      </w:r>
      <w:proofErr w:type="spellEnd"/>
      <w:r w:rsidRPr="000378F3">
        <w:rPr>
          <w:rStyle w:val="Hyperkobling"/>
          <w:lang w:val="nb-NO"/>
        </w:rPr>
        <w:t xml:space="preserve"> 20.9.2005</w:t>
      </w:r>
      <w:r>
        <w:rPr>
          <w:lang w:val="nb-NO"/>
        </w:rPr>
        <w:fldChar w:fldCharType="end"/>
      </w:r>
      <w:r w:rsidRPr="000378F3">
        <w:rPr>
          <w:lang w:val="nb-NO"/>
        </w:rPr>
        <w:t>).</w:t>
      </w:r>
    </w:p>
    <w:p w14:paraId="2691E4EC" w14:textId="29265DEC" w:rsidR="00D31A25" w:rsidRDefault="00D31A25" w:rsidP="00D31A25">
      <w:pPr>
        <w:rPr>
          <w:lang w:val="nb-NO"/>
        </w:rPr>
      </w:pPr>
      <w:r>
        <w:rPr>
          <w:lang w:val="nb-NO"/>
        </w:rPr>
        <w:t>Israels kulturinstitusjoner tilhører det ideologiske og institusjonelle reisverket i Israels regime med okkupasjon, settlerkolonialisme og apartheid mot det palestinske folket. Disse institusjonene er klart implisert, gjennom stillhet eller gjennom aktiv støtte, rettferdiggjøring og hvitvasking av Israels okkupasjon og systematiske fornektelse av palestinske rettigheter.</w:t>
      </w:r>
    </w:p>
    <w:p w14:paraId="4607ED9A" w14:textId="77777777" w:rsidR="00D31A25" w:rsidRDefault="00D31A25" w:rsidP="00D31A25">
      <w:pPr>
        <w:rPr>
          <w:lang w:val="nb-NO"/>
        </w:rPr>
      </w:pPr>
      <w:r>
        <w:rPr>
          <w:lang w:val="nb-NO"/>
        </w:rPr>
        <w:t>Når internasjonale artister opptrer på Israels kulturelle møtesteder og institusjoner, hjelper de til med å skape det falske inntrykket at Israel er en «normalt» land, som ethvert annet. Den store majoriteten av palestinske skribenter, artister og kultursentre støtter kulturell boikott av Israel. Et økende antall antiimperialistiske israelere støtter BDS, inkludert kulturell boikott.</w:t>
      </w:r>
    </w:p>
    <w:p w14:paraId="39330BCE" w14:textId="77777777" w:rsidR="00D31A25" w:rsidRDefault="00D31A25" w:rsidP="00D31A25">
      <w:pPr>
        <w:pStyle w:val="Overskrift2"/>
      </w:pPr>
      <w:proofErr w:type="spellStart"/>
      <w:r>
        <w:t>PACBIs</w:t>
      </w:r>
      <w:proofErr w:type="spellEnd"/>
      <w:r>
        <w:t xml:space="preserve"> oppfordring til kulturell boikott – hva og hvordan?</w:t>
      </w:r>
    </w:p>
    <w:p w14:paraId="7658B606" w14:textId="77777777" w:rsidR="00D31A25" w:rsidRPr="006860CB" w:rsidRDefault="00D31A25" w:rsidP="00D31A25">
      <w:pPr>
        <w:rPr>
          <w:lang w:val="nb-NO"/>
        </w:rPr>
      </w:pPr>
      <w:r>
        <w:rPr>
          <w:lang w:val="nb-NO"/>
        </w:rPr>
        <w:t xml:space="preserve">Tekst på engelsk </w:t>
      </w:r>
      <w:hyperlink r:id="rId6" w:anchor="guidelines" w:history="1">
        <w:r w:rsidRPr="006860CB">
          <w:rPr>
            <w:rStyle w:val="Hyperkobling"/>
            <w:lang w:val="nb-NO"/>
          </w:rPr>
          <w:t>https://bdsmovement.net/cultural-boycott#guidelines</w:t>
        </w:r>
      </w:hyperlink>
      <w:r w:rsidRPr="006860CB">
        <w:rPr>
          <w:lang w:val="nb-NO"/>
        </w:rPr>
        <w:t xml:space="preserve"> </w:t>
      </w:r>
    </w:p>
    <w:p w14:paraId="444BFC5D" w14:textId="77777777" w:rsidR="00D31A25" w:rsidRDefault="00D31A25" w:rsidP="00D31A25">
      <w:pPr>
        <w:rPr>
          <w:lang w:val="nb-NO"/>
        </w:rPr>
      </w:pPr>
      <w:r>
        <w:rPr>
          <w:lang w:val="nb-NO"/>
        </w:rPr>
        <w:t>PACBI oppfordrer internasjonale artister, kulturarbeidere og kulturorganisasjoner til å boikotte og arbeide for kansellering av aktiviteter som involverer Israel, lobbygrupper og institusjoner som er medskyldige i å hvitvaske Israels brudd på menneskerettighetene.</w:t>
      </w:r>
    </w:p>
    <w:p w14:paraId="321D631D" w14:textId="77777777" w:rsidR="00D31A25" w:rsidRDefault="00D31A25" w:rsidP="00D31A25">
      <w:pPr>
        <w:rPr>
          <w:lang w:val="nb-NO"/>
        </w:rPr>
      </w:pPr>
      <w:r>
        <w:rPr>
          <w:lang w:val="nb-NO"/>
        </w:rPr>
        <w:t>Dette er en boikott av Israels kultur</w:t>
      </w:r>
      <w:r w:rsidRPr="008A1AA3">
        <w:rPr>
          <w:i/>
          <w:iCs/>
          <w:lang w:val="nb-NO"/>
        </w:rPr>
        <w:t>institusjoner</w:t>
      </w:r>
      <w:r>
        <w:rPr>
          <w:lang w:val="nb-NO"/>
        </w:rPr>
        <w:t xml:space="preserve">, ikke israelske personer. BDS rammer </w:t>
      </w:r>
      <w:proofErr w:type="spellStart"/>
      <w:r>
        <w:rPr>
          <w:lang w:val="nb-NO"/>
        </w:rPr>
        <w:t>medskyldighet</w:t>
      </w:r>
      <w:proofErr w:type="spellEnd"/>
      <w:r>
        <w:rPr>
          <w:lang w:val="nb-NO"/>
        </w:rPr>
        <w:t>, ikke identitet. Kulturell boikott av Israel vil fortsette til Israel innfrir kravene fra BDS-bevegelsen. Men israelske kulturinstitusjoner kan unngå å bli rammet av boikotten hvis de imøtekommer de tre kravene og slutter å støtte Israels brudd på internasjonal rett.</w:t>
      </w:r>
    </w:p>
    <w:p w14:paraId="2C701585" w14:textId="77777777" w:rsidR="00D31A25" w:rsidRDefault="00D31A25" w:rsidP="00D31A25">
      <w:pPr>
        <w:rPr>
          <w:lang w:val="nb-NO"/>
        </w:rPr>
      </w:pPr>
      <w:r w:rsidRPr="00C82BDF">
        <w:rPr>
          <w:lang w:val="nb-NO"/>
        </w:rPr>
        <w:t>PACBI oppfordrer særlig til b</w:t>
      </w:r>
      <w:r>
        <w:rPr>
          <w:lang w:val="nb-NO"/>
        </w:rPr>
        <w:t>oikott på disse områdene:</w:t>
      </w:r>
    </w:p>
    <w:p w14:paraId="62F65BD1" w14:textId="77777777" w:rsidR="00D31A25" w:rsidRDefault="00D31A25" w:rsidP="00D31A25">
      <w:pPr>
        <w:pStyle w:val="Overskrift3"/>
        <w:rPr>
          <w:lang w:val="nb-NO"/>
        </w:rPr>
      </w:pPr>
      <w:r w:rsidRPr="00C82BDF">
        <w:rPr>
          <w:lang w:val="nb-NO"/>
        </w:rPr>
        <w:t>Opptredener og utstillinger i I</w:t>
      </w:r>
      <w:r>
        <w:rPr>
          <w:lang w:val="nb-NO"/>
        </w:rPr>
        <w:t>srael</w:t>
      </w:r>
    </w:p>
    <w:p w14:paraId="202D4C3A" w14:textId="77777777" w:rsidR="00D31A25" w:rsidRDefault="00D31A25" w:rsidP="00D31A25">
      <w:pPr>
        <w:rPr>
          <w:lang w:val="nb-NO"/>
        </w:rPr>
      </w:pPr>
      <w:r>
        <w:rPr>
          <w:lang w:val="nb-NO"/>
        </w:rPr>
        <w:t>Internasjonale artister blir bedt om å ikke opptre eller stille ut i Israel fordi dette bidrar til å gi inntrykk av at Israel er et «normalt land» og til å hvitvaske bruddene på palestinernes menneskerettigheter. Israel betrakter opptredener i Tel Aviv som at artistene bifaller Israels politikk. Palestinerne avviser ideen om at dette kan kompenseres ved at de også opptrer eller stiller ut på okkupert, palestinsk territorium: Dette forsøket på «balanse» underminerer palestinske rettigheter.</w:t>
      </w:r>
    </w:p>
    <w:p w14:paraId="04D204BF" w14:textId="77777777" w:rsidR="00D31A25" w:rsidRDefault="00D31A25" w:rsidP="00D31A25">
      <w:pPr>
        <w:pStyle w:val="Overskrift3"/>
        <w:rPr>
          <w:lang w:val="nb-NO"/>
        </w:rPr>
      </w:pPr>
      <w:r>
        <w:rPr>
          <w:lang w:val="nb-NO"/>
        </w:rPr>
        <w:lastRenderedPageBreak/>
        <w:t>Alle medskyldige, israelske institusjoner</w:t>
      </w:r>
    </w:p>
    <w:p w14:paraId="080CC54B" w14:textId="77777777" w:rsidR="00D31A25" w:rsidRDefault="00D31A25" w:rsidP="00D31A25">
      <w:pPr>
        <w:rPr>
          <w:lang w:val="nb-NO"/>
        </w:rPr>
      </w:pPr>
      <w:r>
        <w:rPr>
          <w:lang w:val="nb-NO"/>
        </w:rPr>
        <w:t xml:space="preserve">Som en generell regel er israelske kulturinstitusjoner medskyldige i å opprettholde Israels okkupasjon og fornektelse av palestinernes grunnleggende rettigheter, hvis de ikke har bevist det motsatte. Israelske kulturinstitusjoner støtter Israels forbrytelser enten gjennom taushet eller ved at de deltar i å rettferdiggjøre, hvitvaske eller med overlegg dreie oppmerksomheten bort fra Israels brudd på internasjonal rett og menneskerettigheter. Israels kulturinstitusjoner inkluderer band, orkestre, </w:t>
      </w:r>
      <w:proofErr w:type="spellStart"/>
      <w:r>
        <w:rPr>
          <w:lang w:val="nb-NO"/>
        </w:rPr>
        <w:t>dansetrupper</w:t>
      </w:r>
      <w:proofErr w:type="spellEnd"/>
      <w:r>
        <w:rPr>
          <w:lang w:val="nb-NO"/>
        </w:rPr>
        <w:t>, teaterkompanier, filmselskaper, filmfestivaler, museer etc.</w:t>
      </w:r>
    </w:p>
    <w:p w14:paraId="6CF980AC" w14:textId="77777777" w:rsidR="00D31A25" w:rsidRDefault="00D31A25" w:rsidP="00D31A25">
      <w:pPr>
        <w:pStyle w:val="Overskrift3"/>
        <w:rPr>
          <w:lang w:val="nb-NO"/>
        </w:rPr>
      </w:pPr>
      <w:r w:rsidRPr="00712BF1">
        <w:rPr>
          <w:lang w:val="nb-NO"/>
        </w:rPr>
        <w:t>Kulturprodukter som er bestilt a</w:t>
      </w:r>
      <w:r>
        <w:rPr>
          <w:lang w:val="nb-NO"/>
        </w:rPr>
        <w:t>v offisielle, israelske organ eller en ikke-israelsk gruppe som promoterer Israel</w:t>
      </w:r>
    </w:p>
    <w:p w14:paraId="3ACA29B1" w14:textId="610C1FA1" w:rsidR="00D31A25" w:rsidRDefault="00D31A25" w:rsidP="00D31A25">
      <w:pPr>
        <w:rPr>
          <w:lang w:val="nb-NO"/>
        </w:rPr>
      </w:pPr>
      <w:r>
        <w:rPr>
          <w:lang w:val="nb-NO"/>
        </w:rPr>
        <w:t>Israelske artister som får statsstøtte signerer ofte en kontrakt der de lover å være en god ambassadør for Israel og landets politikk. Alle slike kulturprodukter eller arrangementer er gjenstand for boikott (</w:t>
      </w:r>
      <w:proofErr w:type="spellStart"/>
      <w:r>
        <w:rPr>
          <w:lang w:val="nb-NO"/>
        </w:rPr>
        <w:t>boycottable</w:t>
      </w:r>
      <w:proofErr w:type="spellEnd"/>
      <w:r>
        <w:rPr>
          <w:lang w:val="nb-NO"/>
        </w:rPr>
        <w:t>). Alle ikke-israelske (internasjonale, palestinske) kulturprodukter som er finansiert av offisielle, israelske organ eller internasjonale «brand Israel»-organisasjoner er politisk motivert og bør boikottes. Israelske kulturprodukter som mottar statsstøtte som en del av kulturarbeidernes rettigheter som skattebetalere</w:t>
      </w:r>
      <w:r w:rsidR="000378F3">
        <w:rPr>
          <w:lang w:val="nb-NO"/>
        </w:rPr>
        <w:t>,</w:t>
      </w:r>
      <w:r>
        <w:rPr>
          <w:lang w:val="nb-NO"/>
        </w:rPr>
        <w:t xml:space="preserve"> uten at de er bundet til å tjene statens politiske propagandainteresser, skal ikke boikottes.</w:t>
      </w:r>
    </w:p>
    <w:p w14:paraId="78AE31A8" w14:textId="77777777" w:rsidR="00D31A25" w:rsidRDefault="00D31A25" w:rsidP="00D31A25">
      <w:pPr>
        <w:pStyle w:val="Overskrift3"/>
        <w:rPr>
          <w:lang w:val="nb-NO"/>
        </w:rPr>
      </w:pPr>
      <w:r>
        <w:rPr>
          <w:lang w:val="nb-NO"/>
        </w:rPr>
        <w:t>Arrangementer og aktiviteter som er sponset av et offisielt, israelsk organ eller en medskyldig institusjon</w:t>
      </w:r>
    </w:p>
    <w:p w14:paraId="4DB3E960" w14:textId="77777777" w:rsidR="00D31A25" w:rsidRDefault="00D31A25" w:rsidP="00D31A25">
      <w:pPr>
        <w:rPr>
          <w:lang w:val="nb-NO"/>
        </w:rPr>
      </w:pPr>
      <w:r>
        <w:rPr>
          <w:lang w:val="nb-NO"/>
        </w:rPr>
        <w:t xml:space="preserve">Det generelle prinsippet er an enhver kulturell aktivitet eller arrangement sponset av eller i samarbeid med et offisielt, israelsk organ, israelsk lobbygruppe eller en medskyldig institusjon innebærer </w:t>
      </w:r>
      <w:proofErr w:type="spellStart"/>
      <w:r>
        <w:rPr>
          <w:lang w:val="nb-NO"/>
        </w:rPr>
        <w:t>medskyldighet</w:t>
      </w:r>
      <w:proofErr w:type="spellEnd"/>
      <w:r>
        <w:rPr>
          <w:lang w:val="nb-NO"/>
        </w:rPr>
        <w:t xml:space="preserve"> og derfor fortjener boikott. Det samme kan gjelde støtte eller sponsing fra ikke-israelske institusjoner som tjener Israels </w:t>
      </w:r>
      <w:proofErr w:type="spellStart"/>
      <w:r>
        <w:rPr>
          <w:lang w:val="nb-NO"/>
        </w:rPr>
        <w:t>branding</w:t>
      </w:r>
      <w:proofErr w:type="spellEnd"/>
      <w:r>
        <w:rPr>
          <w:lang w:val="nb-NO"/>
        </w:rPr>
        <w:t xml:space="preserve">/propaganda-formål. </w:t>
      </w:r>
      <w:r w:rsidRPr="00FA51A1">
        <w:rPr>
          <w:lang w:val="nb-NO"/>
        </w:rPr>
        <w:t>Arrangementer og aktiviteter omfatter kunstutstillinger, filmvisninger, festivaler, skuespill, konferanser, f</w:t>
      </w:r>
      <w:r>
        <w:rPr>
          <w:lang w:val="nb-NO"/>
        </w:rPr>
        <w:t>orestillinger (som musikk og dans), turer og andre aktiviteter.</w:t>
      </w:r>
    </w:p>
    <w:p w14:paraId="0A0CDEB8" w14:textId="77777777" w:rsidR="00D31A25" w:rsidRDefault="00D31A25" w:rsidP="00D31A25">
      <w:pPr>
        <w:pStyle w:val="Overskrift3"/>
        <w:rPr>
          <w:lang w:val="nb-NO"/>
        </w:rPr>
      </w:pPr>
      <w:r>
        <w:rPr>
          <w:lang w:val="nb-NO"/>
        </w:rPr>
        <w:t>Normaliseringsprosjekter</w:t>
      </w:r>
    </w:p>
    <w:p w14:paraId="2AC90054" w14:textId="77777777" w:rsidR="00D31A25" w:rsidRDefault="00D31A25" w:rsidP="00D31A25">
      <w:pPr>
        <w:rPr>
          <w:lang w:val="nb-NO"/>
        </w:rPr>
      </w:pPr>
      <w:r>
        <w:rPr>
          <w:lang w:val="nb-NO"/>
        </w:rPr>
        <w:t xml:space="preserve">I palestinsk kontekst refererer normalisering til enhver aktivitet som skaper inntrykk av at Israel er som enhver annen stat; at palestinerne (de undertrykte) og Israel (undertrykkeren) begge har et like stort ansvar for «konflikten». </w:t>
      </w:r>
      <w:r w:rsidRPr="00FA51A1">
        <w:rPr>
          <w:lang w:val="nb-NO"/>
        </w:rPr>
        <w:t>Langt fra å utfordre den urettferdige situasjonen bidrar slike p</w:t>
      </w:r>
      <w:r>
        <w:rPr>
          <w:lang w:val="nb-NO"/>
        </w:rPr>
        <w:t xml:space="preserve">rosjekter til å at den varer, de er intellektuelt uærlige og burde bli boikottet. </w:t>
      </w:r>
    </w:p>
    <w:p w14:paraId="7C1E54ED" w14:textId="77777777" w:rsidR="00D31A25" w:rsidRDefault="00D31A25" w:rsidP="00D31A25">
      <w:pPr>
        <w:rPr>
          <w:lang w:val="nb-NO"/>
        </w:rPr>
      </w:pPr>
      <w:r w:rsidRPr="00031632">
        <w:rPr>
          <w:lang w:val="nb-NO"/>
        </w:rPr>
        <w:t>Et eksempel på normalisering s</w:t>
      </w:r>
      <w:r>
        <w:rPr>
          <w:lang w:val="nb-NO"/>
        </w:rPr>
        <w:t xml:space="preserve">om bør boikottes kan være et felles arrangement som eksplisitt er laget for å bringe sammen palestinere/arabere og israelere slik at de kan presentere sine respektive </w:t>
      </w:r>
      <w:proofErr w:type="spellStart"/>
      <w:r>
        <w:rPr>
          <w:lang w:val="nb-NO"/>
        </w:rPr>
        <w:t>narrativer</w:t>
      </w:r>
      <w:proofErr w:type="spellEnd"/>
      <w:r>
        <w:rPr>
          <w:lang w:val="nb-NO"/>
        </w:rPr>
        <w:t xml:space="preserve"> eller perspektiver eller arbeide for forsoning, uten å ta for seg de grunnleggende årsakene til urettferdigheten. </w:t>
      </w:r>
    </w:p>
    <w:p w14:paraId="32AD1411" w14:textId="77777777" w:rsidR="00D31A25" w:rsidRDefault="00D31A25" w:rsidP="00D31A25">
      <w:pPr>
        <w:rPr>
          <w:lang w:val="nb-NO"/>
        </w:rPr>
      </w:pPr>
      <w:r>
        <w:rPr>
          <w:lang w:val="nb-NO"/>
        </w:rPr>
        <w:t xml:space="preserve">Men, et felles prosjekt skal ikke boikottes hvis </w:t>
      </w:r>
    </w:p>
    <w:p w14:paraId="34E78F57" w14:textId="77777777" w:rsidR="00D31A25" w:rsidRPr="00031632" w:rsidRDefault="00D31A25" w:rsidP="00D31A25">
      <w:pPr>
        <w:pStyle w:val="Listeavsnitt"/>
        <w:numPr>
          <w:ilvl w:val="0"/>
          <w:numId w:val="1"/>
        </w:numPr>
        <w:rPr>
          <w:lang w:val="nb-NO"/>
        </w:rPr>
      </w:pPr>
      <w:r w:rsidRPr="00031632">
        <w:rPr>
          <w:lang w:val="nb-NO"/>
        </w:rPr>
        <w:lastRenderedPageBreak/>
        <w:t>den israelske partneren i prosjektet anerkjenner palestinernes rettigheter ifølge internasjonal rett (som svarer til de tre rettighetene i oppfordringa til BDS).</w:t>
      </w:r>
    </w:p>
    <w:p w14:paraId="3272DB2B" w14:textId="77777777" w:rsidR="00D31A25" w:rsidRDefault="00D31A25" w:rsidP="00D31A25">
      <w:pPr>
        <w:pStyle w:val="Listeavsnitt"/>
        <w:numPr>
          <w:ilvl w:val="0"/>
          <w:numId w:val="1"/>
        </w:numPr>
        <w:rPr>
          <w:lang w:val="nb-NO"/>
        </w:rPr>
      </w:pPr>
      <w:r>
        <w:rPr>
          <w:lang w:val="nb-NO"/>
        </w:rPr>
        <w:t>Prosjektet/aktiviteten handler om felles motstand mot undertrykking (co-</w:t>
      </w:r>
      <w:proofErr w:type="spellStart"/>
      <w:r>
        <w:rPr>
          <w:lang w:val="nb-NO"/>
        </w:rPr>
        <w:t>resistance</w:t>
      </w:r>
      <w:proofErr w:type="spellEnd"/>
      <w:r>
        <w:rPr>
          <w:lang w:val="nb-NO"/>
        </w:rPr>
        <w:t>) og ikke sameksistens under undertrykking (co-</w:t>
      </w:r>
      <w:proofErr w:type="spellStart"/>
      <w:r>
        <w:rPr>
          <w:lang w:val="nb-NO"/>
        </w:rPr>
        <w:t>existence</w:t>
      </w:r>
      <w:proofErr w:type="spellEnd"/>
      <w:r>
        <w:rPr>
          <w:lang w:val="nb-NO"/>
        </w:rPr>
        <w:t>).</w:t>
      </w:r>
    </w:p>
    <w:p w14:paraId="7B4EBCEF" w14:textId="77777777" w:rsidR="00D31A25" w:rsidRDefault="00D31A25" w:rsidP="00D31A25">
      <w:pPr>
        <w:pStyle w:val="Overskrift3"/>
        <w:rPr>
          <w:lang w:val="nb-NO"/>
        </w:rPr>
      </w:pPr>
      <w:r>
        <w:rPr>
          <w:lang w:val="nb-NO"/>
        </w:rPr>
        <w:t>Undersøkelseskommisjoner sponset av Israel, israelske institusjoner eller lobbygrupper</w:t>
      </w:r>
    </w:p>
    <w:p w14:paraId="16B3257F" w14:textId="77777777" w:rsidR="00D31A25" w:rsidRDefault="00D31A25" w:rsidP="00D31A25">
      <w:pPr>
        <w:rPr>
          <w:lang w:val="nb-NO"/>
        </w:rPr>
      </w:pPr>
      <w:r>
        <w:rPr>
          <w:lang w:val="nb-NO"/>
        </w:rPr>
        <w:t>Slike kommisjoner skal boikottes.</w:t>
      </w:r>
    </w:p>
    <w:p w14:paraId="71B23899" w14:textId="77777777" w:rsidR="00D31A25" w:rsidRDefault="00D31A25" w:rsidP="00D31A25">
      <w:pPr>
        <w:pStyle w:val="Overskrift2"/>
      </w:pPr>
      <w:r w:rsidRPr="00C94954">
        <w:t xml:space="preserve">Se også </w:t>
      </w:r>
    </w:p>
    <w:p w14:paraId="5D324003" w14:textId="6BB8F771" w:rsidR="00D31A25" w:rsidRPr="00781488" w:rsidRDefault="005E111A" w:rsidP="00D31A25">
      <w:pPr>
        <w:rPr>
          <w:lang w:val="nb-NO"/>
        </w:rPr>
      </w:pPr>
      <w:hyperlink r:id="rId7" w:history="1">
        <w:r w:rsidR="00D31A25" w:rsidRPr="005E111A">
          <w:rPr>
            <w:rStyle w:val="Hyperkobling"/>
            <w:lang w:val="nb-NO"/>
          </w:rPr>
          <w:t>Opprop for akademisk og kulturell boikott av staten Israel</w:t>
        </w:r>
      </w:hyperlink>
      <w:r w:rsidR="00D31A25">
        <w:rPr>
          <w:lang w:val="nb-NO"/>
        </w:rPr>
        <w:t xml:space="preserve"> (norsk, 2010)</w:t>
      </w:r>
    </w:p>
    <w:p w14:paraId="72A1A2D9" w14:textId="1B7CED96" w:rsidR="00D31A25" w:rsidRDefault="005E111A" w:rsidP="00D31A25">
      <w:pPr>
        <w:rPr>
          <w:lang w:val="nb-NO"/>
        </w:rPr>
      </w:pPr>
      <w:hyperlink r:id="rId8" w:history="1">
        <w:proofErr w:type="spellStart"/>
        <w:r w:rsidR="00D31A25" w:rsidRPr="005E111A">
          <w:rPr>
            <w:rStyle w:val="Hyperkobling"/>
            <w:lang w:val="nb-NO"/>
          </w:rPr>
          <w:t>PACBIs</w:t>
        </w:r>
        <w:proofErr w:type="spellEnd"/>
        <w:r w:rsidR="00D31A25" w:rsidRPr="005E111A">
          <w:rPr>
            <w:rStyle w:val="Hyperkobling"/>
            <w:lang w:val="nb-NO"/>
          </w:rPr>
          <w:t xml:space="preserve"> detaljerte retningslinjer for kulturell boikott</w:t>
        </w:r>
      </w:hyperlink>
      <w:r w:rsidR="00D31A25">
        <w:rPr>
          <w:lang w:val="nb-NO"/>
        </w:rPr>
        <w:t xml:space="preserve"> (engelsk, juli 2014)</w:t>
      </w:r>
    </w:p>
    <w:p w14:paraId="6E50BF9A" w14:textId="5669BB8C" w:rsidR="00D31A25" w:rsidRDefault="005E111A" w:rsidP="00D31A25">
      <w:pPr>
        <w:rPr>
          <w:lang w:val="nb-NO"/>
        </w:rPr>
      </w:pPr>
      <w:hyperlink r:id="rId9" w:history="1">
        <w:r w:rsidR="00D31A25" w:rsidRPr="005E111A">
          <w:rPr>
            <w:rStyle w:val="Hyperkobling"/>
            <w:lang w:val="nb-NO"/>
          </w:rPr>
          <w:t>E-nyhetsbrev hvert kvartal om akademisk og kulturell boikott</w:t>
        </w:r>
      </w:hyperlink>
      <w:r w:rsidR="00D31A25">
        <w:rPr>
          <w:lang w:val="nb-NO"/>
        </w:rPr>
        <w:t xml:space="preserve"> (norsk)</w:t>
      </w:r>
    </w:p>
    <w:p w14:paraId="0C49ED3E" w14:textId="77777777" w:rsidR="00D31A25" w:rsidRDefault="00D31A25" w:rsidP="00D31A25">
      <w:pPr>
        <w:rPr>
          <w:lang w:val="nb-NO"/>
        </w:rPr>
      </w:pPr>
      <w:r>
        <w:rPr>
          <w:lang w:val="nb-NO"/>
        </w:rPr>
        <w:t>AKULBI Aktuelt september 2022 har mer informasjon om israelske filmfond.</w:t>
      </w:r>
    </w:p>
    <w:p w14:paraId="4593AC36" w14:textId="2319C797" w:rsidR="00D31A25" w:rsidRDefault="00D31A25" w:rsidP="00D31A25">
      <w:pPr>
        <w:rPr>
          <w:lang w:val="nb-NO"/>
        </w:rPr>
      </w:pPr>
      <w:r>
        <w:rPr>
          <w:lang w:val="nb-NO"/>
        </w:rPr>
        <w:t xml:space="preserve">Generelt om akademisk og kulturell boikott (norsk, 2022) - </w:t>
      </w:r>
      <w:hyperlink r:id="rId10" w:history="1">
        <w:r w:rsidRPr="005E111A">
          <w:rPr>
            <w:rStyle w:val="Hyperkobling"/>
            <w:lang w:val="nb-NO"/>
          </w:rPr>
          <w:t>Studiemateriell</w:t>
        </w:r>
      </w:hyperlink>
    </w:p>
    <w:p w14:paraId="3E981BCB" w14:textId="77777777" w:rsidR="009E4071" w:rsidRPr="00D31A25" w:rsidRDefault="009E4071">
      <w:pPr>
        <w:rPr>
          <w:lang w:val="nb-NO"/>
        </w:rPr>
      </w:pPr>
    </w:p>
    <w:sectPr w:rsidR="009E4071" w:rsidRPr="00D31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07AE3"/>
    <w:multiLevelType w:val="hybridMultilevel"/>
    <w:tmpl w:val="5E4C1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95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25"/>
    <w:rsid w:val="000378F3"/>
    <w:rsid w:val="002E18CD"/>
    <w:rsid w:val="00515EFA"/>
    <w:rsid w:val="005D3017"/>
    <w:rsid w:val="005E111A"/>
    <w:rsid w:val="00797551"/>
    <w:rsid w:val="008D1FF6"/>
    <w:rsid w:val="009E4071"/>
    <w:rsid w:val="00A32935"/>
    <w:rsid w:val="00BB34F2"/>
    <w:rsid w:val="00D31A25"/>
    <w:rsid w:val="00F0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35FB"/>
  <w15:chartTrackingRefBased/>
  <w15:docId w15:val="{B3D6F1C4-0B74-47B9-A66A-14EAB9DB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A25"/>
    <w:rPr>
      <w:sz w:val="24"/>
    </w:rPr>
  </w:style>
  <w:style w:type="paragraph" w:styleId="Overskrift2">
    <w:name w:val="heading 2"/>
    <w:basedOn w:val="Normal"/>
    <w:link w:val="Overskrift2Tegn"/>
    <w:autoRedefine/>
    <w:uiPriority w:val="9"/>
    <w:qFormat/>
    <w:rsid w:val="00BB34F2"/>
    <w:pPr>
      <w:spacing w:before="100" w:beforeAutospacing="1" w:after="100" w:afterAutospacing="1" w:line="240" w:lineRule="auto"/>
      <w:outlineLvl w:val="1"/>
    </w:pPr>
    <w:rPr>
      <w:rFonts w:asciiTheme="majorHAnsi" w:eastAsia="Times New Roman" w:hAnsiTheme="majorHAnsi" w:cs="Times New Roman"/>
      <w:sz w:val="28"/>
      <w:szCs w:val="36"/>
      <w:lang w:val="nb-NO" w:eastAsia="en-GB"/>
    </w:rPr>
  </w:style>
  <w:style w:type="paragraph" w:styleId="Overskrift3">
    <w:name w:val="heading 3"/>
    <w:basedOn w:val="Normal"/>
    <w:link w:val="Overskrift3Tegn"/>
    <w:uiPriority w:val="9"/>
    <w:qFormat/>
    <w:rsid w:val="00D31A25"/>
    <w:pPr>
      <w:spacing w:before="100" w:beforeAutospacing="1" w:after="100" w:afterAutospacing="1" w:line="240" w:lineRule="auto"/>
      <w:outlineLvl w:val="2"/>
    </w:pPr>
    <w:rPr>
      <w:rFonts w:asciiTheme="majorHAnsi" w:eastAsia="Times New Roman" w:hAnsiTheme="majorHAnsi" w:cs="Times New Roman"/>
      <w:b/>
      <w:bCs/>
      <w:color w:val="4472C4" w:themeColor="accent1"/>
      <w:szCs w:val="27"/>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B34F2"/>
    <w:rPr>
      <w:rFonts w:asciiTheme="majorHAnsi" w:eastAsia="Times New Roman" w:hAnsiTheme="majorHAnsi" w:cs="Times New Roman"/>
      <w:sz w:val="28"/>
      <w:szCs w:val="36"/>
      <w:lang w:val="nb-NO" w:eastAsia="en-GB"/>
    </w:rPr>
  </w:style>
  <w:style w:type="character" w:customStyle="1" w:styleId="Overskrift3Tegn">
    <w:name w:val="Overskrift 3 Tegn"/>
    <w:basedOn w:val="Standardskriftforavsnitt"/>
    <w:link w:val="Overskrift3"/>
    <w:uiPriority w:val="9"/>
    <w:rsid w:val="00D31A25"/>
    <w:rPr>
      <w:rFonts w:asciiTheme="majorHAnsi" w:eastAsia="Times New Roman" w:hAnsiTheme="majorHAnsi" w:cs="Times New Roman"/>
      <w:b/>
      <w:bCs/>
      <w:color w:val="4472C4" w:themeColor="accent1"/>
      <w:sz w:val="24"/>
      <w:szCs w:val="27"/>
      <w:lang w:eastAsia="en-GB"/>
    </w:rPr>
  </w:style>
  <w:style w:type="character" w:styleId="Hyperkobling">
    <w:name w:val="Hyperlink"/>
    <w:basedOn w:val="Standardskriftforavsnitt"/>
    <w:uiPriority w:val="99"/>
    <w:unhideWhenUsed/>
    <w:rsid w:val="00D31A25"/>
    <w:rPr>
      <w:color w:val="0563C1" w:themeColor="hyperlink"/>
      <w:u w:val="single"/>
    </w:rPr>
  </w:style>
  <w:style w:type="paragraph" w:styleId="Listeavsnitt">
    <w:name w:val="List Paragraph"/>
    <w:basedOn w:val="Normal"/>
    <w:uiPriority w:val="34"/>
    <w:qFormat/>
    <w:rsid w:val="00D31A25"/>
    <w:pPr>
      <w:ind w:left="720"/>
      <w:contextualSpacing/>
    </w:pPr>
  </w:style>
  <w:style w:type="character" w:styleId="Merknadsreferanse">
    <w:name w:val="annotation reference"/>
    <w:basedOn w:val="Standardskriftforavsnitt"/>
    <w:uiPriority w:val="99"/>
    <w:semiHidden/>
    <w:unhideWhenUsed/>
    <w:rsid w:val="00D31A25"/>
    <w:rPr>
      <w:sz w:val="16"/>
      <w:szCs w:val="16"/>
    </w:rPr>
  </w:style>
  <w:style w:type="paragraph" w:styleId="Merknadstekst">
    <w:name w:val="annotation text"/>
    <w:basedOn w:val="Normal"/>
    <w:link w:val="MerknadstekstTegn"/>
    <w:uiPriority w:val="99"/>
    <w:unhideWhenUsed/>
    <w:rsid w:val="00D31A25"/>
    <w:pPr>
      <w:spacing w:line="240" w:lineRule="auto"/>
    </w:pPr>
    <w:rPr>
      <w:sz w:val="20"/>
      <w:szCs w:val="20"/>
    </w:rPr>
  </w:style>
  <w:style w:type="character" w:customStyle="1" w:styleId="MerknadstekstTegn">
    <w:name w:val="Merknadstekst Tegn"/>
    <w:basedOn w:val="Standardskriftforavsnitt"/>
    <w:link w:val="Merknadstekst"/>
    <w:uiPriority w:val="99"/>
    <w:rsid w:val="00D31A25"/>
    <w:rPr>
      <w:sz w:val="20"/>
      <w:szCs w:val="20"/>
    </w:rPr>
  </w:style>
  <w:style w:type="paragraph" w:styleId="Revisjon">
    <w:name w:val="Revision"/>
    <w:hidden/>
    <w:uiPriority w:val="99"/>
    <w:semiHidden/>
    <w:rsid w:val="00515EFA"/>
    <w:pPr>
      <w:spacing w:after="0" w:line="240" w:lineRule="auto"/>
    </w:pPr>
    <w:rPr>
      <w:sz w:val="24"/>
    </w:rPr>
  </w:style>
  <w:style w:type="paragraph" w:styleId="Kommentaremne">
    <w:name w:val="annotation subject"/>
    <w:basedOn w:val="Merknadstekst"/>
    <w:next w:val="Merknadstekst"/>
    <w:link w:val="KommentaremneTegn"/>
    <w:uiPriority w:val="99"/>
    <w:semiHidden/>
    <w:unhideWhenUsed/>
    <w:rsid w:val="00515EFA"/>
    <w:rPr>
      <w:b/>
      <w:bCs/>
    </w:rPr>
  </w:style>
  <w:style w:type="character" w:customStyle="1" w:styleId="KommentaremneTegn">
    <w:name w:val="Kommentaremne Tegn"/>
    <w:basedOn w:val="MerknadstekstTegn"/>
    <w:link w:val="Kommentaremne"/>
    <w:uiPriority w:val="99"/>
    <w:semiHidden/>
    <w:rsid w:val="00515EFA"/>
    <w:rPr>
      <w:b/>
      <w:bCs/>
      <w:sz w:val="20"/>
      <w:szCs w:val="20"/>
    </w:rPr>
  </w:style>
  <w:style w:type="character" w:styleId="Ulstomtale">
    <w:name w:val="Unresolved Mention"/>
    <w:basedOn w:val="Standardskriftforavsnitt"/>
    <w:uiPriority w:val="99"/>
    <w:semiHidden/>
    <w:unhideWhenUsed/>
    <w:rsid w:val="0003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smovement.net/pacbi/cultural-bOoycott-guidelines" TargetMode="External"/><Relationship Id="rId3" Type="http://schemas.openxmlformats.org/officeDocument/2006/relationships/settings" Target="settings.xml"/><Relationship Id="rId7" Type="http://schemas.openxmlformats.org/officeDocument/2006/relationships/hyperlink" Target="https://www.ipetitions.com/petition/akul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smovement.net/cultural-boycott" TargetMode="External"/><Relationship Id="rId11" Type="http://schemas.openxmlformats.org/officeDocument/2006/relationships/fontTable" Target="fontTable.xml"/><Relationship Id="rId5" Type="http://schemas.openxmlformats.org/officeDocument/2006/relationships/hyperlink" Target="https://bdsmovement.net/cultural-boycott" TargetMode="External"/><Relationship Id="rId10" Type="http://schemas.openxmlformats.org/officeDocument/2006/relationships/hyperlink" Target="https://palestinakomiteen.no/utvalgene/akademisk-kulturell-boikott/boikotte-israels-universiteter-kulturinstitusjoner/" TargetMode="External"/><Relationship Id="rId4" Type="http://schemas.openxmlformats.org/officeDocument/2006/relationships/webSettings" Target="webSettings.xml"/><Relationship Id="rId9" Type="http://schemas.openxmlformats.org/officeDocument/2006/relationships/hyperlink" Target="https://palestinakomiteen.no/utvalgene/akademisk-kulturell-boikott/akulbi-aktuel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Aarseth</dc:creator>
  <cp:keywords/>
  <dc:description/>
  <cp:lastModifiedBy>Kirsti Aarseth</cp:lastModifiedBy>
  <cp:revision>2</cp:revision>
  <cp:lastPrinted>2023-02-20T17:52:00Z</cp:lastPrinted>
  <dcterms:created xsi:type="dcterms:W3CDTF">2023-02-20T19:06:00Z</dcterms:created>
  <dcterms:modified xsi:type="dcterms:W3CDTF">2023-02-20T19:06:00Z</dcterms:modified>
</cp:coreProperties>
</file>